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9D" w:rsidRDefault="00DA309D" w:rsidP="00DA309D">
      <w:pPr>
        <w:spacing w:after="0" w:line="240" w:lineRule="auto"/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783BA4">
        <w:rPr>
          <w:rFonts w:ascii="Times New Roman" w:hAnsi="Times New Roman" w:cs="Times New Roman"/>
          <w:sz w:val="24"/>
          <w:szCs w:val="24"/>
        </w:rPr>
        <w:t>PATV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83BA4">
        <w:rPr>
          <w:rFonts w:ascii="Times New Roman" w:hAnsi="Times New Roman" w:cs="Times New Roman"/>
          <w:sz w:val="24"/>
          <w:szCs w:val="24"/>
        </w:rPr>
        <w:t xml:space="preserve">RTINTA </w:t>
      </w:r>
    </w:p>
    <w:p w:rsidR="00DA309D" w:rsidRDefault="00DA309D" w:rsidP="00DA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VšĮ Rokiškio rajono ligoninės direktoriaus</w:t>
      </w:r>
    </w:p>
    <w:p w:rsidR="00DA309D" w:rsidRDefault="00DA309D" w:rsidP="00DA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 m. gegužės 15 d. įsakymu Nr. V-88</w:t>
      </w:r>
    </w:p>
    <w:p w:rsidR="00DA309D" w:rsidRDefault="00DA309D" w:rsidP="00DA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(nauja redakcija išdėstytas VšĮ Rokiškio rajono</w:t>
      </w:r>
    </w:p>
    <w:p w:rsidR="00DA309D" w:rsidRPr="00EC2891" w:rsidRDefault="00DA309D" w:rsidP="00DA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89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igoninės </w:t>
      </w:r>
      <w:r w:rsidRPr="00EC2891">
        <w:rPr>
          <w:rFonts w:ascii="Times New Roman" w:hAnsi="Times New Roman" w:cs="Times New Roman"/>
          <w:sz w:val="24"/>
          <w:szCs w:val="24"/>
        </w:rPr>
        <w:t xml:space="preserve">direktoriaus 2020 m. lapkričio </w:t>
      </w:r>
      <w:r w:rsidR="00EC2891" w:rsidRPr="00EC2891">
        <w:rPr>
          <w:rFonts w:ascii="Times New Roman" w:hAnsi="Times New Roman" w:cs="Times New Roman"/>
          <w:sz w:val="24"/>
          <w:szCs w:val="24"/>
        </w:rPr>
        <w:t>16</w:t>
      </w:r>
      <w:r w:rsidRPr="00EC2891">
        <w:rPr>
          <w:rFonts w:ascii="Times New Roman" w:hAnsi="Times New Roman" w:cs="Times New Roman"/>
          <w:sz w:val="24"/>
          <w:szCs w:val="24"/>
        </w:rPr>
        <w:t xml:space="preserve"> d. įsakymu</w:t>
      </w:r>
    </w:p>
    <w:p w:rsidR="00DA309D" w:rsidRPr="00783BA4" w:rsidRDefault="00DA309D" w:rsidP="00DA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891">
        <w:rPr>
          <w:rFonts w:ascii="Times New Roman" w:hAnsi="Times New Roman" w:cs="Times New Roman"/>
          <w:sz w:val="24"/>
          <w:szCs w:val="24"/>
        </w:rPr>
        <w:tab/>
      </w:r>
      <w:r w:rsidRPr="00EC2891">
        <w:rPr>
          <w:rFonts w:ascii="Times New Roman" w:hAnsi="Times New Roman" w:cs="Times New Roman"/>
          <w:sz w:val="24"/>
          <w:szCs w:val="24"/>
        </w:rPr>
        <w:tab/>
      </w:r>
      <w:r w:rsidRPr="00EC2891">
        <w:rPr>
          <w:rFonts w:ascii="Times New Roman" w:hAnsi="Times New Roman" w:cs="Times New Roman"/>
          <w:sz w:val="24"/>
          <w:szCs w:val="24"/>
        </w:rPr>
        <w:tab/>
      </w:r>
      <w:r w:rsidRPr="00EC2891">
        <w:rPr>
          <w:rFonts w:ascii="Times New Roman" w:hAnsi="Times New Roman" w:cs="Times New Roman"/>
          <w:sz w:val="24"/>
          <w:szCs w:val="24"/>
        </w:rPr>
        <w:tab/>
      </w:r>
      <w:r w:rsidRPr="00EC2891">
        <w:rPr>
          <w:rFonts w:ascii="Times New Roman" w:hAnsi="Times New Roman" w:cs="Times New Roman"/>
          <w:sz w:val="24"/>
          <w:szCs w:val="24"/>
        </w:rPr>
        <w:tab/>
      </w:r>
      <w:r w:rsidRPr="00EC2891">
        <w:rPr>
          <w:rFonts w:ascii="Times New Roman" w:hAnsi="Times New Roman" w:cs="Times New Roman"/>
          <w:sz w:val="24"/>
          <w:szCs w:val="24"/>
        </w:rPr>
        <w:tab/>
      </w:r>
      <w:r w:rsidRPr="00EC2891">
        <w:rPr>
          <w:rFonts w:ascii="Times New Roman" w:hAnsi="Times New Roman" w:cs="Times New Roman"/>
          <w:sz w:val="24"/>
          <w:szCs w:val="24"/>
        </w:rPr>
        <w:tab/>
        <w:t>Nr. V-</w:t>
      </w:r>
      <w:r w:rsidR="00EC2891" w:rsidRPr="00EC2891">
        <w:rPr>
          <w:rFonts w:ascii="Times New Roman" w:hAnsi="Times New Roman" w:cs="Times New Roman"/>
          <w:sz w:val="24"/>
          <w:szCs w:val="24"/>
        </w:rPr>
        <w:t>180</w:t>
      </w:r>
      <w:r w:rsidRPr="00EC2891">
        <w:rPr>
          <w:rFonts w:ascii="Times New Roman" w:hAnsi="Times New Roman" w:cs="Times New Roman"/>
          <w:sz w:val="24"/>
          <w:szCs w:val="24"/>
        </w:rPr>
        <w:t>)</w:t>
      </w:r>
    </w:p>
    <w:p w:rsidR="00DA309D" w:rsidRDefault="00DA309D" w:rsidP="00DA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9D" w:rsidRPr="00185C0C" w:rsidRDefault="00DA309D" w:rsidP="00DA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0C">
        <w:rPr>
          <w:rFonts w:ascii="Times New Roman" w:hAnsi="Times New Roman" w:cs="Times New Roman"/>
          <w:b/>
          <w:sz w:val="24"/>
          <w:szCs w:val="24"/>
        </w:rPr>
        <w:t>VŠĮ ROKIŠKIO RAJONO LIGONINĖS KORUPCIJOS PREVENCIJOS PROGRAMOS ĮGYVENDINIMO 2020-202</w:t>
      </w:r>
      <w:r w:rsidR="00DE640E">
        <w:rPr>
          <w:rFonts w:ascii="Times New Roman" w:hAnsi="Times New Roman" w:cs="Times New Roman"/>
          <w:b/>
          <w:sz w:val="24"/>
          <w:szCs w:val="24"/>
        </w:rPr>
        <w:t>3</w:t>
      </w:r>
      <w:r w:rsidRPr="00185C0C">
        <w:rPr>
          <w:rFonts w:ascii="Times New Roman" w:hAnsi="Times New Roman" w:cs="Times New Roman"/>
          <w:b/>
          <w:sz w:val="24"/>
          <w:szCs w:val="24"/>
        </w:rPr>
        <w:t xml:space="preserve"> METAIS PRIEMONIŲ PLANAS</w:t>
      </w:r>
    </w:p>
    <w:p w:rsidR="00DA309D" w:rsidRPr="00185C0C" w:rsidRDefault="00DA309D" w:rsidP="00DA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3544"/>
        <w:gridCol w:w="2799"/>
      </w:tblGrid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799" w:type="dxa"/>
          </w:tcPr>
          <w:p w:rsidR="00DA309D" w:rsidRPr="000F5634" w:rsidRDefault="00DA309D" w:rsidP="00DE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34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  <w:p w:rsidR="00DA309D" w:rsidRPr="000F5634" w:rsidRDefault="00DA309D" w:rsidP="00DE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9D" w:rsidRPr="00185C0C" w:rsidTr="00DE28CD">
        <w:tc>
          <w:tcPr>
            <w:tcW w:w="13993" w:type="dxa"/>
            <w:gridSpan w:val="4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KORUPCIJOS PREVENCIJOS PROGRAMOS IR JOS ĮGYVENDINIMO PRIEMONIŲ P</w:t>
            </w:r>
            <w:r w:rsidR="00BD32A5">
              <w:rPr>
                <w:rFonts w:ascii="Times New Roman" w:hAnsi="Times New Roman" w:cs="Times New Roman"/>
                <w:b/>
                <w:sz w:val="24"/>
                <w:szCs w:val="24"/>
              </w:rPr>
              <w:t>LANO PARENGIMAS, TIKSLINIMAS ESANT POREIKIUI</w:t>
            </w:r>
          </w:p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DA309D" w:rsidRPr="00185C0C" w:rsidRDefault="00DA309D" w:rsidP="00DE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Įstaigos korupcijos prevencijos programos bei korupcijos prevencijos programos įgyvendinimo priemonių plano 2020-202</w:t>
            </w:r>
            <w:r w:rsidR="00DE6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 metams kopijų pateikimas savivaldybei ir Lietuvos Respublikos sveikatos apsaugos ministerijos Antikorupcijos ir atitikties skyriui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Komisija, atsakinga už korupcijos prevenciją ir kontrolę 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</w:p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gegužės 31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Korupcijos prevencijos programos tikslinimas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Komisija, atsakinga už korupcijos prevenciją ir kontrolę 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Periodiškai, keičiantis reikalavimams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DA309D" w:rsidRPr="00185C0C" w:rsidRDefault="00DA309D" w:rsidP="00DE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Įstaigos korupcijos prevencijos programos priemonių įgyvendinimo plano 2020-202</w:t>
            </w:r>
            <w:r w:rsidR="00DE6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 metams skelbimas įstaigos interneto svetainėje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gegužės 31 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Informacijos apie komisiją, paskirtą vykdyti korupcijos prevenciją ir kontrolę įstaigoje, duomenų bei kontaktų skelbimas įstaigos interneto svetainėje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Nuolat, patikslinus informaciją 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Ataskaitos apie korupcijos prevencijos programos priemonių įgyvendinimo plano vykdymą skelbimas įstaigos interneto svetainėje 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Komisija, atsakinga už korupcijos prevenciją ir kontrolę 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Kasmet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gegužės 3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1 d. </w:t>
            </w:r>
          </w:p>
        </w:tc>
      </w:tr>
      <w:tr w:rsidR="00DA309D" w:rsidRPr="00185C0C" w:rsidTr="00DE28CD">
        <w:tc>
          <w:tcPr>
            <w:tcW w:w="13993" w:type="dxa"/>
            <w:gridSpan w:val="4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>2. KORUPCIJOS PASIREIŠKIMO TIKIMYBĖS NUSTATYMAS</w:t>
            </w:r>
          </w:p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DA309D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Įstaigos veiklos sričių vertinimas, siekiant nustatyti konkrečius korupcijos rizikos veiksnius bei korupcijos pasireiškimo tikimybę</w:t>
            </w:r>
          </w:p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</w:t>
            </w:r>
          </w:p>
        </w:tc>
        <w:tc>
          <w:tcPr>
            <w:tcW w:w="2799" w:type="dxa"/>
          </w:tcPr>
          <w:p w:rsidR="00DA309D" w:rsidRPr="00185C0C" w:rsidRDefault="00242909" w:rsidP="002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Kasmet, iki metų IV ketvirčio</w:t>
            </w:r>
            <w:r w:rsidR="00DA309D"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Atlikus korupcijos pasireiškimo nustatymą ir nustačius korupcijos rizikos veiksnius, šių veiksnių pašalinimo ar mažinimo plano tvirtinimas 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30 kalendorinių dienų po atlikto korupcijos pasireiškimo tikimybės nustatymo </w:t>
            </w:r>
          </w:p>
        </w:tc>
      </w:tr>
      <w:tr w:rsidR="00DA309D" w:rsidRPr="00185C0C" w:rsidTr="00DE28CD">
        <w:tc>
          <w:tcPr>
            <w:tcW w:w="13993" w:type="dxa"/>
            <w:gridSpan w:val="4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9D" w:rsidRDefault="00DA309D" w:rsidP="00DE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VŠĮ ROKIŠKIO RAJONO LIGONINĖS VEIKLOS VIEŠUMO, SKAIDRUMO IR AIŠKUMO DIDINIMAS </w:t>
            </w:r>
          </w:p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Atitinkamo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gydytojo specialisto, bendrosios praktikos slaugytojos ir slaugytojų padėjėjos 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medicinos norm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 skelbimas įstaigos stacionaro skyriuose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Įstaigos interneto svetainėje mokamų asmens sveikatos priežiūros paslaugų kainų skelbimas, mokamų paslaugų teikimo tvarkos skelbimas 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Vyr. ekonomistas,</w:t>
            </w:r>
          </w:p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teisininkas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</w:tr>
      <w:tr w:rsidR="00DA309D" w:rsidRPr="00185C0C" w:rsidTr="00DB3E9A">
        <w:tc>
          <w:tcPr>
            <w:tcW w:w="704" w:type="dxa"/>
            <w:tcBorders>
              <w:bottom w:val="single" w:sz="4" w:space="0" w:color="auto"/>
            </w:tcBorders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Įstaigos interneto svetainėje, bei televizorių ekranuose valstybinės ligonių kasos informacijos, reklaminių filmukų apie asmens sveikatos priežiūros paslaugų teikimą skelbimas  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DA309D" w:rsidRPr="00185C0C" w:rsidTr="00DB3E9A">
        <w:tc>
          <w:tcPr>
            <w:tcW w:w="704" w:type="dxa"/>
            <w:tcBorders>
              <w:bottom w:val="single" w:sz="4" w:space="0" w:color="auto"/>
            </w:tcBorders>
          </w:tcPr>
          <w:p w:rsidR="00DA309D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Pacientų apklausų apie pacientų pasitenkinimo teikiamomis paslaugomis lygį vykdymas ir įstaigos interneto svetainėje apibendrintų apklausos rezultatų skelbimas 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Vidaus medicininio audito grupė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rečiau kaip kartą per metus</w:t>
            </w:r>
          </w:p>
        </w:tc>
      </w:tr>
      <w:tr w:rsidR="00DA309D" w:rsidRPr="00185C0C" w:rsidTr="00DB3E9A">
        <w:tc>
          <w:tcPr>
            <w:tcW w:w="704" w:type="dxa"/>
            <w:tcBorders>
              <w:bottom w:val="single" w:sz="4" w:space="0" w:color="auto"/>
            </w:tcBorders>
          </w:tcPr>
          <w:p w:rsidR="00DA309D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6B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DA309D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pacientams suteiktas mokamas paslaugas statistinėse formose Nr. 066/a-LK „Stacionare gydomo asmens statistinė kortelė“ ir 025/a-LK „Asmens ambulatorinio gydymo statistinės kortelė“ pildymas 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Gydytojai </w:t>
            </w:r>
          </w:p>
        </w:tc>
        <w:tc>
          <w:tcPr>
            <w:tcW w:w="2799" w:type="dxa"/>
          </w:tcPr>
          <w:p w:rsidR="00DA309D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</w:tr>
      <w:tr w:rsidR="00807047" w:rsidRPr="00185C0C" w:rsidTr="00DB3E9A">
        <w:tc>
          <w:tcPr>
            <w:tcW w:w="704" w:type="dxa"/>
            <w:tcBorders>
              <w:bottom w:val="single" w:sz="4" w:space="0" w:color="auto"/>
            </w:tcBorders>
          </w:tcPr>
          <w:p w:rsidR="00807047" w:rsidRDefault="00807047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946" w:type="dxa"/>
          </w:tcPr>
          <w:p w:rsidR="00807047" w:rsidRDefault="00807047" w:rsidP="002A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Ligoninės ir pacientams atstovaujančių organizacijų diskusijos organizavimas apie pagarbos</w:t>
            </w:r>
            <w:r w:rsidR="002A6380">
              <w:rPr>
                <w:rFonts w:ascii="Times New Roman" w:hAnsi="Times New Roman" w:cs="Times New Roman"/>
                <w:sz w:val="24"/>
                <w:szCs w:val="24"/>
              </w:rPr>
              <w:t>, pasitik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2A6380">
              <w:rPr>
                <w:rFonts w:ascii="Times New Roman" w:hAnsi="Times New Roman" w:cs="Times New Roman"/>
                <w:sz w:val="24"/>
                <w:szCs w:val="24"/>
              </w:rPr>
              <w:t xml:space="preserve">jimo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atsakomybės u</w:t>
            </w:r>
            <w:r w:rsidR="002A6380">
              <w:rPr>
                <w:rFonts w:ascii="Times New Roman" w:hAnsi="Times New Roman" w:cs="Times New Roman"/>
                <w:sz w:val="24"/>
                <w:szCs w:val="24"/>
              </w:rPr>
              <w:t xml:space="preserve">gdymą tarp medikų ir pacientų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07047" w:rsidRDefault="002A6380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Medicinos etikos komisija </w:t>
            </w:r>
          </w:p>
        </w:tc>
        <w:tc>
          <w:tcPr>
            <w:tcW w:w="2799" w:type="dxa"/>
          </w:tcPr>
          <w:p w:rsidR="00807047" w:rsidRDefault="002A6380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II ketvirtis </w:t>
            </w:r>
          </w:p>
        </w:tc>
      </w:tr>
      <w:tr w:rsidR="00DA309D" w:rsidRPr="00185C0C" w:rsidTr="00DE28CD">
        <w:tc>
          <w:tcPr>
            <w:tcW w:w="13993" w:type="dxa"/>
            <w:gridSpan w:val="4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9D" w:rsidRDefault="00DA309D" w:rsidP="00DE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ANTIKORUPCINĖS APLINKOS KŪRIMAS</w:t>
            </w:r>
            <w:r w:rsidR="00BD3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INTERESŲ KONFLIKTŲ VALDYMAS</w:t>
            </w:r>
          </w:p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Įstaigos darbuotojų mokymai korupcijos prevencijos, viešųjų interesų deklaravimo, etikos ir kt. temomis</w:t>
            </w:r>
          </w:p>
        </w:tc>
        <w:tc>
          <w:tcPr>
            <w:tcW w:w="3544" w:type="dxa"/>
          </w:tcPr>
          <w:p w:rsidR="00DA309D" w:rsidRPr="00185C0C" w:rsidRDefault="00DA309D" w:rsidP="0052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kontrolę,</w:t>
            </w:r>
            <w:r w:rsidR="0052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atitikties pareigūnas, atsakingas už </w:t>
            </w:r>
            <w:r w:rsidR="005241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ietuvos Respublikos viešųj</w:t>
            </w:r>
            <w:r w:rsidR="00524155">
              <w:rPr>
                <w:rFonts w:ascii="Times New Roman" w:hAnsi="Times New Roman" w:cs="Times New Roman"/>
                <w:sz w:val="24"/>
                <w:szCs w:val="24"/>
              </w:rPr>
              <w:t xml:space="preserve">ų ir privačių interesų derinimo 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įstatymo nuostatų laikymosi 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priežiūrą ir kontrolę,</w:t>
            </w:r>
            <w:r w:rsidR="0052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STT pareigūnas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Bent du kartus per metus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Įstaigos darbuotojų, privalančių deklaruoti privačius interesus, deklaracijų pateikimo kontrolė 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titikties pareigūnas, atsakingas už Lietuvos Respublikos viešųjų ir privačių interesų derinimo įstatymo nuostatų laikymosi priežiūrą ir kontrolę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Ne vėliau kaip per 30 kalendorinių dienų po darbuotojo priėmimo į pareigas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Pareigų, kurias einantys asmenys, privalo deklaruoti privačius interesus, sąrašo patvirtinimas</w:t>
            </w:r>
          </w:p>
        </w:tc>
        <w:tc>
          <w:tcPr>
            <w:tcW w:w="3544" w:type="dxa"/>
          </w:tcPr>
          <w:p w:rsidR="00DA309D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III ketvirtis 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Darbuotojų elgesio kodekso peržiūra, ir esant reikalui, koregavimas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pagal SAM parengtą pavyzdinį ASPĮ darbuotojų etikos ir (ar) elgesio kodeksą ar taisykles, jų paskelbimas įstaigos interneto svetainėje, d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arbuotojų supažindinimas su elgesio kodeksu 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Medicinos etikos komisija ir k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omisija, atsakinga už korupcijos prevenciją ir kontrolę, personalo specialistas 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Darbuotojų elgesio kodekso peržiūra ir koregavimas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SAM parengtas rekomendacijas, 2021 m. III ketvirtis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; darbuotojų supažindinimas su elgesio kodekso – jų priėmimo metu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darbuotojų etikos taisyklių taikymo rezultatų paskelbimas, skundų dėl darbuotojų etikos taisyklių pažeidimo, etikos taisyklių nuostatų laikymosi kontrolės, etikos komisijos posėdžiuose priimtų sprendimų apibendrinimas </w:t>
            </w:r>
          </w:p>
        </w:tc>
        <w:tc>
          <w:tcPr>
            <w:tcW w:w="3544" w:type="dxa"/>
          </w:tcPr>
          <w:p w:rsidR="00DA309D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Medicinos etikos komisija 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Vieną kartą per metus 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6946" w:type="dxa"/>
          </w:tcPr>
          <w:p w:rsidR="00DA309D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Dovanų, taip pat reprezentacijai skirtų dovanų perdavimo, vertinimo, registravimo, saugojimo ir eksponavimo tvarkos aprašo pagal Lietuvos Respublikos specialiųjų tyrimų tarnybos rekomendacijas parengimas </w:t>
            </w:r>
          </w:p>
        </w:tc>
        <w:tc>
          <w:tcPr>
            <w:tcW w:w="3544" w:type="dxa"/>
          </w:tcPr>
          <w:p w:rsidR="00DA309D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titikties pareigūnas, atsakingas už Lietuvos Respublikos viešųjų ir privačių interesų derinimo įstatymo nuostatų </w:t>
            </w:r>
            <w:r w:rsidR="00524155">
              <w:rPr>
                <w:rFonts w:ascii="Times New Roman" w:hAnsi="Times New Roman" w:cs="Times New Roman"/>
                <w:sz w:val="24"/>
                <w:szCs w:val="24"/>
              </w:rPr>
              <w:t>laikymosi priežiūrą ir kontrolę</w:t>
            </w:r>
          </w:p>
        </w:tc>
        <w:tc>
          <w:tcPr>
            <w:tcW w:w="2799" w:type="dxa"/>
          </w:tcPr>
          <w:p w:rsidR="00DA309D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I ketvirtis </w:t>
            </w:r>
          </w:p>
        </w:tc>
      </w:tr>
      <w:tr w:rsidR="00DA309D" w:rsidRPr="00185C0C" w:rsidTr="00DE28CD">
        <w:tc>
          <w:tcPr>
            <w:tcW w:w="13993" w:type="dxa"/>
            <w:gridSpan w:val="4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>IEŠŲJŲ PIRKIMŲ VYKDYMO SVEIKATOS SISTEMOJE SKAIDRUM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DIDINIMAS</w:t>
            </w:r>
          </w:p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Vaistinių preparatų,</w:t>
            </w:r>
            <w:r w:rsidRPr="00185C0C">
              <w:rPr>
                <w:rFonts w:ascii="Times New Roman" w:hAnsi="Times New Roman" w:cs="Times New Roman"/>
                <w:color w:val="1D1C1D"/>
                <w:sz w:val="24"/>
                <w:szCs w:val="24"/>
                <w:shd w:val="clear" w:color="auto" w:fill="FFFFFF"/>
              </w:rPr>
              <w:t xml:space="preserve"> skalbimo paslaugų  ir elektros pirkimo per CPO vykdymas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Asmenys, atsakingi už viešuosius pirkimus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6946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Viešųjų pirkimų vykdymas naudojantis CVP IS priemonėmis 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Asmenys, atsakingi už viešuosius pirkimus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</w:tc>
      </w:tr>
      <w:tr w:rsidR="00DA309D" w:rsidRPr="00185C0C" w:rsidTr="00DB3E9A">
        <w:tc>
          <w:tcPr>
            <w:tcW w:w="704" w:type="dxa"/>
          </w:tcPr>
          <w:p w:rsidR="00DA309D" w:rsidRPr="00185C0C" w:rsidRDefault="00DA309D" w:rsidP="00DE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946" w:type="dxa"/>
          </w:tcPr>
          <w:p w:rsidR="00DA309D" w:rsidRPr="00185C0C" w:rsidRDefault="002C7C7A" w:rsidP="002C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viešųjų pirkimų plano </w:t>
            </w:r>
            <w:r w:rsidR="00DA309D"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skelbimas įstaigos interneto svetainėje </w:t>
            </w:r>
          </w:p>
        </w:tc>
        <w:tc>
          <w:tcPr>
            <w:tcW w:w="3544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Viešųjų pirkimų komisijos pirmininkas</w:t>
            </w:r>
          </w:p>
        </w:tc>
        <w:tc>
          <w:tcPr>
            <w:tcW w:w="2799" w:type="dxa"/>
          </w:tcPr>
          <w:p w:rsidR="00DA309D" w:rsidRPr="00185C0C" w:rsidRDefault="00DA309D" w:rsidP="00D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</w:tr>
      <w:tr w:rsidR="00DB3E9A" w:rsidRPr="00185C0C" w:rsidTr="00DB3E9A">
        <w:tc>
          <w:tcPr>
            <w:tcW w:w="704" w:type="dxa"/>
          </w:tcPr>
          <w:p w:rsidR="00DB3E9A" w:rsidRDefault="00DB3E9A" w:rsidP="00DB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</w:t>
            </w:r>
          </w:p>
        </w:tc>
        <w:tc>
          <w:tcPr>
            <w:tcW w:w="6946" w:type="dxa"/>
          </w:tcPr>
          <w:p w:rsidR="00DB3E9A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Vykdomų pirkimų stebėsenos atlikimas pagal Lietuvos Respublikos sveikatos apsaugos ministro 2020 m. liepos 14 d. įsakyme Nr. V-1651 „Dėl pirkimų vykdytojų sveikatos priežiūros sistemoje viešųjų pirkimų vertinimo rodiklių viešinimo“ nustatytus rodiklius (adaptuotus įstaigai, pasirinktinai ne mažiau kaip keturis) </w:t>
            </w:r>
          </w:p>
          <w:p w:rsidR="00524155" w:rsidRPr="00185C0C" w:rsidRDefault="00524155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Viešųjų pirkimų komisijos pirmininkas</w:t>
            </w:r>
          </w:p>
        </w:tc>
        <w:tc>
          <w:tcPr>
            <w:tcW w:w="2799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I ketvirtis </w:t>
            </w:r>
          </w:p>
        </w:tc>
      </w:tr>
      <w:tr w:rsidR="00DB3E9A" w:rsidRPr="00185C0C" w:rsidTr="00DE28CD">
        <w:tc>
          <w:tcPr>
            <w:tcW w:w="13993" w:type="dxa"/>
            <w:gridSpan w:val="4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9A" w:rsidRPr="00185C0C" w:rsidRDefault="00DB3E9A" w:rsidP="00DB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INFORMACIJOS PACIENTAMS TEIKIMAS</w:t>
            </w:r>
          </w:p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9A" w:rsidRPr="00185C0C" w:rsidTr="00DB3E9A">
        <w:tc>
          <w:tcPr>
            <w:tcW w:w="704" w:type="dxa"/>
          </w:tcPr>
          <w:p w:rsidR="00DB3E9A" w:rsidRPr="00185C0C" w:rsidRDefault="00DB3E9A" w:rsidP="00DB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6946" w:type="dxa"/>
          </w:tcPr>
          <w:p w:rsidR="00DB3E9A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Lipdukų, plakatų, sulaikančių pacientus nuo neoficialių mokėjimų medicinos personalui buvimas įstaigoje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skyriuose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, ant gydytojų specialistų kabinetų durų ir pan.)</w:t>
            </w:r>
          </w:p>
          <w:p w:rsidR="00524155" w:rsidRPr="00185C0C" w:rsidRDefault="00524155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</w:t>
            </w:r>
          </w:p>
        </w:tc>
        <w:tc>
          <w:tcPr>
            <w:tcW w:w="2799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</w:tr>
      <w:tr w:rsidR="00DB3E9A" w:rsidRPr="00185C0C" w:rsidTr="00DB3E9A">
        <w:tc>
          <w:tcPr>
            <w:tcW w:w="704" w:type="dxa"/>
          </w:tcPr>
          <w:p w:rsidR="00DB3E9A" w:rsidRDefault="00DB3E9A" w:rsidP="00DB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6946" w:type="dxa"/>
          </w:tcPr>
          <w:p w:rsidR="00DB3E9A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pacientų teises ir pareigas skelbimas įstaigos interneto svetainėje </w:t>
            </w:r>
          </w:p>
          <w:p w:rsidR="00524155" w:rsidRPr="00185C0C" w:rsidRDefault="00524155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</w:t>
            </w:r>
          </w:p>
        </w:tc>
        <w:tc>
          <w:tcPr>
            <w:tcW w:w="2799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</w:tr>
      <w:tr w:rsidR="00DB3E9A" w:rsidRPr="00185C0C" w:rsidTr="00DB3E9A">
        <w:tc>
          <w:tcPr>
            <w:tcW w:w="704" w:type="dxa"/>
          </w:tcPr>
          <w:p w:rsidR="00DB3E9A" w:rsidRPr="00185C0C" w:rsidRDefault="00DB3E9A" w:rsidP="00DB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Informacijos visuose įstaigos skyrių informaciniuose stenduose, įstaigos interneto svetainėje skelbimas:</w:t>
            </w:r>
          </w:p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1) informacija apie atsakomybę už korupcinio pobūdžio teisės pažeidimus;</w:t>
            </w:r>
          </w:p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2) informacija apie tai, kur pacientas gali kreiptis, susidūręs su korupcinio pobūdžio nusikalstama veika;</w:t>
            </w:r>
          </w:p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3) informacija apie SAM „pasitikėjimo telefoną“, elektroninio pašto adresą;</w:t>
            </w:r>
          </w:p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4) informacija apie STT „karštosios linijos“ telefoną, elektroninį pašto adresą;</w:t>
            </w:r>
          </w:p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5) darbuotojų, susidūrusių su galimai korupcinio pobūdžio nusikalstama veika, elgesio taisyklės, patvirtintos Lietuvos Respublikos sveikatos apsaugos ministro 2014 m. liepos 7 d. įsakymu Nr. V-773 „Dėl L</w:t>
            </w:r>
            <w:r w:rsidRPr="00185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ietuvos nacionalinės sveikatos sistemos</w:t>
            </w:r>
            <w:r w:rsidRPr="0018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185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įstaigų darbuotojų, susidūrusių su galima korupcinio pobūdžio nusikalstama veika, elgesio taisyklių patvirtinimo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“ (skelbiama tik interneto svetainėje)</w:t>
            </w:r>
          </w:p>
        </w:tc>
        <w:tc>
          <w:tcPr>
            <w:tcW w:w="3544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kontrolę, skyrių vedėjai, už skyriaus darbo organizavimą atsakingi asmenys</w:t>
            </w:r>
          </w:p>
        </w:tc>
        <w:tc>
          <w:tcPr>
            <w:tcW w:w="2799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</w:tr>
      <w:tr w:rsidR="00DB3E9A" w:rsidRPr="00185C0C" w:rsidTr="00DB3E9A">
        <w:tc>
          <w:tcPr>
            <w:tcW w:w="704" w:type="dxa"/>
          </w:tcPr>
          <w:p w:rsidR="00DB3E9A" w:rsidRPr="00185C0C" w:rsidRDefault="00DB3E9A" w:rsidP="00DB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valstybės lėšomis apmokamų sveikatos priežiūros paslaugų kainas skelbimas įstaigos interneto svetainėje (nuoroda į VLK tinklapį) </w:t>
            </w:r>
          </w:p>
        </w:tc>
        <w:tc>
          <w:tcPr>
            <w:tcW w:w="3544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</w:t>
            </w:r>
          </w:p>
        </w:tc>
        <w:tc>
          <w:tcPr>
            <w:tcW w:w="2799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Pasirodžius informacijai</w:t>
            </w:r>
          </w:p>
        </w:tc>
      </w:tr>
      <w:tr w:rsidR="00DB3E9A" w:rsidRPr="00185C0C" w:rsidTr="00DE28CD">
        <w:tc>
          <w:tcPr>
            <w:tcW w:w="13993" w:type="dxa"/>
            <w:gridSpan w:val="4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9A" w:rsidRPr="00185C0C" w:rsidRDefault="00DB3E9A" w:rsidP="00DB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VISUOMENĖS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INFORMAVIMAS </w:t>
            </w: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APIE GALIMAS KORUPCINES VEIKAS IR </w:t>
            </w:r>
          </w:p>
          <w:p w:rsidR="00DB3E9A" w:rsidRPr="00185C0C" w:rsidRDefault="00DB3E9A" w:rsidP="00DB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b/>
                <w:sz w:val="24"/>
                <w:szCs w:val="24"/>
              </w:rPr>
              <w:t>NUSTATYTUS KORUPCI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JOS SVEIKATOS SISTEMOJE ATVEJUS</w:t>
            </w:r>
          </w:p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9A" w:rsidRPr="00185C0C" w:rsidTr="00DB3E9A">
        <w:tc>
          <w:tcPr>
            <w:tcW w:w="704" w:type="dxa"/>
          </w:tcPr>
          <w:p w:rsidR="00DB3E9A" w:rsidRPr="00185C0C" w:rsidRDefault="00DB3E9A" w:rsidP="00DB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6946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STT ir SAM antikorupcijos ir atitikties skyriaus informavimas gavus įstaigoje pranešimą apie galimą korupcinio pobūdžio veiką</w:t>
            </w:r>
          </w:p>
        </w:tc>
        <w:tc>
          <w:tcPr>
            <w:tcW w:w="3544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Įstaigos vadovas, komisija, atsakinga už korupcijos prevenciją ir kontrolę</w:t>
            </w:r>
          </w:p>
        </w:tc>
        <w:tc>
          <w:tcPr>
            <w:tcW w:w="2799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Gavus pranešimą per 3 darbo dienas</w:t>
            </w:r>
          </w:p>
        </w:tc>
      </w:tr>
      <w:tr w:rsidR="00DB3E9A" w:rsidRPr="00185C0C" w:rsidTr="00DB3E9A">
        <w:tc>
          <w:tcPr>
            <w:tcW w:w="704" w:type="dxa"/>
          </w:tcPr>
          <w:p w:rsidR="00DB3E9A" w:rsidRPr="00185C0C" w:rsidRDefault="00DB3E9A" w:rsidP="00DB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6946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įstaigoje teisės aktų nustatyta tvarka nustatytus korupcijos atvejus bei atvejus, kai įstaigoje dirbantis asmuo pažeidė Lietuvos Respublikos viešųjų ir privačių interesų derinimo įstatymo nuostatas, skelbimas įstaigos interneto svetainėje  </w:t>
            </w:r>
          </w:p>
        </w:tc>
        <w:tc>
          <w:tcPr>
            <w:tcW w:w="3544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>Komisija, atsakinga už korupcijos prevenciją ir kontrolę</w:t>
            </w:r>
          </w:p>
        </w:tc>
        <w:tc>
          <w:tcPr>
            <w:tcW w:w="2799" w:type="dxa"/>
          </w:tcPr>
          <w:p w:rsidR="00DB3E9A" w:rsidRPr="00185C0C" w:rsidRDefault="00DB3E9A" w:rsidP="00D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0C">
              <w:rPr>
                <w:rFonts w:ascii="Times New Roman" w:hAnsi="Times New Roman" w:cs="Times New Roman"/>
                <w:sz w:val="24"/>
                <w:szCs w:val="24"/>
              </w:rPr>
              <w:t xml:space="preserve">Per 10 darbo dienų informacijos gavimo </w:t>
            </w:r>
          </w:p>
        </w:tc>
      </w:tr>
    </w:tbl>
    <w:p w:rsidR="00DA309D" w:rsidRDefault="00DA309D" w:rsidP="00DA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09D" w:rsidRDefault="00DA309D" w:rsidP="00DA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09D" w:rsidRPr="00185C0C" w:rsidRDefault="00DA309D" w:rsidP="00DA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D2797" w:rsidRPr="002E3719" w:rsidRDefault="002E3719" w:rsidP="002E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719">
        <w:rPr>
          <w:rFonts w:ascii="Times New Roman" w:hAnsi="Times New Roman" w:cs="Times New Roman"/>
          <w:sz w:val="24"/>
          <w:szCs w:val="24"/>
        </w:rPr>
        <w:t>Parengė:</w:t>
      </w:r>
    </w:p>
    <w:p w:rsidR="002E3719" w:rsidRDefault="002E3719" w:rsidP="002E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719">
        <w:rPr>
          <w:rFonts w:ascii="Times New Roman" w:hAnsi="Times New Roman" w:cs="Times New Roman"/>
          <w:sz w:val="24"/>
          <w:szCs w:val="24"/>
        </w:rPr>
        <w:t>Komisijos,</w:t>
      </w:r>
      <w:r>
        <w:rPr>
          <w:rFonts w:ascii="Times New Roman" w:hAnsi="Times New Roman" w:cs="Times New Roman"/>
          <w:sz w:val="24"/>
          <w:szCs w:val="24"/>
        </w:rPr>
        <w:t xml:space="preserve"> atsakingos už korupcijos prevenciją ir kontrolę,</w:t>
      </w:r>
    </w:p>
    <w:p w:rsidR="002E3719" w:rsidRPr="002E3719" w:rsidRDefault="002E3719" w:rsidP="002E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pirmininkė Aistė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Sketerytė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Jasinevičienė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37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3719" w:rsidRPr="002E3719" w:rsidSect="00757F81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D5"/>
    <w:rsid w:val="00014261"/>
    <w:rsid w:val="0006332D"/>
    <w:rsid w:val="00076CA1"/>
    <w:rsid w:val="00090245"/>
    <w:rsid w:val="000D0541"/>
    <w:rsid w:val="000F5634"/>
    <w:rsid w:val="001479D5"/>
    <w:rsid w:val="00185C0C"/>
    <w:rsid w:val="001A4EFB"/>
    <w:rsid w:val="001D0E00"/>
    <w:rsid w:val="001D1074"/>
    <w:rsid w:val="00221728"/>
    <w:rsid w:val="00242909"/>
    <w:rsid w:val="002A51F9"/>
    <w:rsid w:val="002A6380"/>
    <w:rsid w:val="002C51C9"/>
    <w:rsid w:val="002C7C7A"/>
    <w:rsid w:val="002E3719"/>
    <w:rsid w:val="002F1280"/>
    <w:rsid w:val="003B4452"/>
    <w:rsid w:val="00450202"/>
    <w:rsid w:val="00465428"/>
    <w:rsid w:val="00470818"/>
    <w:rsid w:val="004835C6"/>
    <w:rsid w:val="00483C04"/>
    <w:rsid w:val="00493490"/>
    <w:rsid w:val="004B200A"/>
    <w:rsid w:val="004C0832"/>
    <w:rsid w:val="004E18B2"/>
    <w:rsid w:val="004E523C"/>
    <w:rsid w:val="00505B27"/>
    <w:rsid w:val="00524155"/>
    <w:rsid w:val="00534B67"/>
    <w:rsid w:val="00567228"/>
    <w:rsid w:val="00575129"/>
    <w:rsid w:val="005921BB"/>
    <w:rsid w:val="005A71CC"/>
    <w:rsid w:val="005B2B2B"/>
    <w:rsid w:val="005D69E0"/>
    <w:rsid w:val="0061520A"/>
    <w:rsid w:val="006236A7"/>
    <w:rsid w:val="00630CD2"/>
    <w:rsid w:val="00664720"/>
    <w:rsid w:val="00670FF6"/>
    <w:rsid w:val="006901EA"/>
    <w:rsid w:val="006C00C8"/>
    <w:rsid w:val="007404B9"/>
    <w:rsid w:val="00746632"/>
    <w:rsid w:val="00757F81"/>
    <w:rsid w:val="0077004C"/>
    <w:rsid w:val="00783BA4"/>
    <w:rsid w:val="00807047"/>
    <w:rsid w:val="00832D1E"/>
    <w:rsid w:val="008843C7"/>
    <w:rsid w:val="008C2BD5"/>
    <w:rsid w:val="00945F0C"/>
    <w:rsid w:val="009554E7"/>
    <w:rsid w:val="009662A6"/>
    <w:rsid w:val="009D05F0"/>
    <w:rsid w:val="009D33FD"/>
    <w:rsid w:val="00A12A73"/>
    <w:rsid w:val="00A24171"/>
    <w:rsid w:val="00A71646"/>
    <w:rsid w:val="00AB60B1"/>
    <w:rsid w:val="00AC2B61"/>
    <w:rsid w:val="00AD2797"/>
    <w:rsid w:val="00AF225F"/>
    <w:rsid w:val="00B03A0A"/>
    <w:rsid w:val="00B06D32"/>
    <w:rsid w:val="00B36B3A"/>
    <w:rsid w:val="00B70F11"/>
    <w:rsid w:val="00BA1F6C"/>
    <w:rsid w:val="00BD32A5"/>
    <w:rsid w:val="00BD392F"/>
    <w:rsid w:val="00BF0583"/>
    <w:rsid w:val="00C12268"/>
    <w:rsid w:val="00C4205E"/>
    <w:rsid w:val="00C546BC"/>
    <w:rsid w:val="00C66AD1"/>
    <w:rsid w:val="00C95C08"/>
    <w:rsid w:val="00C96408"/>
    <w:rsid w:val="00CC0DE3"/>
    <w:rsid w:val="00CE5B64"/>
    <w:rsid w:val="00CE6B30"/>
    <w:rsid w:val="00D163F2"/>
    <w:rsid w:val="00D4340B"/>
    <w:rsid w:val="00D47A16"/>
    <w:rsid w:val="00D82B43"/>
    <w:rsid w:val="00D859B2"/>
    <w:rsid w:val="00D928AB"/>
    <w:rsid w:val="00DA309D"/>
    <w:rsid w:val="00DB3E9A"/>
    <w:rsid w:val="00DD0FE0"/>
    <w:rsid w:val="00DE640E"/>
    <w:rsid w:val="00E33339"/>
    <w:rsid w:val="00E54BFD"/>
    <w:rsid w:val="00E56B4B"/>
    <w:rsid w:val="00E63120"/>
    <w:rsid w:val="00EA61CB"/>
    <w:rsid w:val="00EC052C"/>
    <w:rsid w:val="00EC2891"/>
    <w:rsid w:val="00F258ED"/>
    <w:rsid w:val="00F30CB5"/>
    <w:rsid w:val="00F75D0B"/>
    <w:rsid w:val="00FC2749"/>
    <w:rsid w:val="00FC5074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E3D4-1536-4718-83F8-3E35C019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1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50202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E6312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5805</Words>
  <Characters>3309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Personalas</dc:creator>
  <cp:keywords/>
  <dc:description/>
  <cp:lastModifiedBy>Personalas</cp:lastModifiedBy>
  <cp:revision>16</cp:revision>
  <cp:lastPrinted>2021-03-18T08:44:00Z</cp:lastPrinted>
  <dcterms:created xsi:type="dcterms:W3CDTF">2021-03-18T09:14:00Z</dcterms:created>
  <dcterms:modified xsi:type="dcterms:W3CDTF">2021-03-22T07:21:00Z</dcterms:modified>
</cp:coreProperties>
</file>